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48" w:rsidRDefault="006C6453" w:rsidP="00A15873">
      <w:pPr>
        <w:pStyle w:val="Geenafstand"/>
      </w:pPr>
      <w:r>
        <w:t>Wat te kennen voor de kennistoets van IBS 3.2 Groen ondernemen. Onderdeel bedrijfseconomie.</w:t>
      </w:r>
    </w:p>
    <w:p w:rsidR="006C6453" w:rsidRDefault="006C6453" w:rsidP="00A15873">
      <w:pPr>
        <w:pStyle w:val="Geenafstand"/>
      </w:pPr>
    </w:p>
    <w:p w:rsidR="006C6453" w:rsidRDefault="006C6453" w:rsidP="00A15873">
      <w:pPr>
        <w:pStyle w:val="Geenafstand"/>
      </w:pPr>
    </w:p>
    <w:p w:rsidR="006C6453" w:rsidRDefault="006C6453" w:rsidP="00A15873">
      <w:pPr>
        <w:pStyle w:val="Geenafstand"/>
      </w:pPr>
      <w:r>
        <w:t>Financiën.</w:t>
      </w:r>
    </w:p>
    <w:p w:rsidR="006C6453" w:rsidRDefault="006C6453" w:rsidP="00A15873">
      <w:pPr>
        <w:pStyle w:val="Geenafstand"/>
      </w:pPr>
      <w:r>
        <w:t>Balans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Alle veelvoorkomende begrippen op een investeringsbalans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Vaste activa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Gebouwen, grond, machines, vervoersmiddelen, inventaris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Immateriële vaste activa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Vlottende activa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Voorraden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Debiteuren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Liquide middelen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Alle veelvoorkomende begrippen op een financieringsbalans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Eigen vermogen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Achtergesteld vermogen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Lang vreemd vermogen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Hypotheeklening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Bankkrediet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Kort vreemd vermogen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Crediteuren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Rekening Courant Krediet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Berekening kunnen geven van de hypotheeklening en het middellang bankkrediet.</w:t>
      </w:r>
    </w:p>
    <w:p w:rsidR="006C6453" w:rsidRDefault="006C6453" w:rsidP="006C6453">
      <w:pPr>
        <w:pStyle w:val="Geenafstand"/>
      </w:pPr>
    </w:p>
    <w:p w:rsidR="006C6453" w:rsidRDefault="006C6453" w:rsidP="006C6453">
      <w:pPr>
        <w:pStyle w:val="Geenafstand"/>
      </w:pPr>
      <w:r>
        <w:t>Exploitatie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De opbouw van een exploitatieoverzicht kennen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De begrippen op het exploitatieoverzicht kennen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Omzet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Directe kosten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Brutowinst of brutomarge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Bedrijfskosten</w:t>
      </w:r>
    </w:p>
    <w:p w:rsidR="006C6453" w:rsidRDefault="006C6453" w:rsidP="006C6453">
      <w:pPr>
        <w:pStyle w:val="Geenafstand"/>
        <w:numPr>
          <w:ilvl w:val="2"/>
          <w:numId w:val="1"/>
        </w:numPr>
      </w:pPr>
      <w:r>
        <w:t>Waaronder de berekening van afschrijvingen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Bedrijfsresultaat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Rentekosten vreemd vermogen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Nettowinst</w:t>
      </w:r>
    </w:p>
    <w:p w:rsidR="006C6453" w:rsidRDefault="006C6453" w:rsidP="006C6453">
      <w:pPr>
        <w:pStyle w:val="Geenafstand"/>
      </w:pPr>
    </w:p>
    <w:p w:rsidR="006C6453" w:rsidRDefault="006C6453" w:rsidP="006C6453">
      <w:pPr>
        <w:pStyle w:val="Geenafstand"/>
      </w:pPr>
      <w:r>
        <w:t>Kengetallen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Werkkapitaal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proofErr w:type="spellStart"/>
      <w:r>
        <w:t>Current</w:t>
      </w:r>
      <w:proofErr w:type="spellEnd"/>
      <w:r>
        <w:t xml:space="preserve"> Ratio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Quick Ratio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Solvabiliteit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Kasstroomoverzicht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Berekening cash flow</w:t>
      </w:r>
    </w:p>
    <w:p w:rsidR="006C6453" w:rsidRDefault="006C6453" w:rsidP="006C6453">
      <w:pPr>
        <w:pStyle w:val="Geenafstand"/>
        <w:numPr>
          <w:ilvl w:val="1"/>
          <w:numId w:val="1"/>
        </w:numPr>
      </w:pPr>
      <w:r>
        <w:t>Waaraan kan de cashflow besteed worden?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Rendement eigen vermogen (REV)</w:t>
      </w:r>
    </w:p>
    <w:p w:rsidR="006C6453" w:rsidRDefault="006C6453" w:rsidP="006C6453">
      <w:pPr>
        <w:pStyle w:val="Geenafstand"/>
        <w:numPr>
          <w:ilvl w:val="0"/>
          <w:numId w:val="1"/>
        </w:numPr>
      </w:pPr>
      <w:r>
        <w:t>Rendement totaal vermogen (RTV)</w:t>
      </w:r>
    </w:p>
    <w:p w:rsidR="006C6453" w:rsidRPr="00A15873" w:rsidRDefault="006C6453" w:rsidP="006C6453">
      <w:pPr>
        <w:pStyle w:val="Geenafstand"/>
        <w:numPr>
          <w:ilvl w:val="0"/>
          <w:numId w:val="1"/>
        </w:numPr>
      </w:pPr>
      <w:r>
        <w:t>Verschil tussen de</w:t>
      </w:r>
      <w:bookmarkStart w:id="0" w:name="_GoBack"/>
      <w:bookmarkEnd w:id="0"/>
      <w:r>
        <w:t xml:space="preserve"> verschillende ondernemingsvormen bij de berekening van het REV en RTV</w:t>
      </w:r>
    </w:p>
    <w:sectPr w:rsidR="006C6453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688"/>
    <w:multiLevelType w:val="hybridMultilevel"/>
    <w:tmpl w:val="66928D8C"/>
    <w:lvl w:ilvl="0" w:tplc="69D0DD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53"/>
    <w:rsid w:val="002D2448"/>
    <w:rsid w:val="006C6453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DA3F"/>
  <w15:chartTrackingRefBased/>
  <w15:docId w15:val="{745F06B4-CBAD-4545-96E0-3A1CD1CA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van  Erp</dc:creator>
  <cp:keywords/>
  <dc:description/>
  <cp:lastModifiedBy>Elon van  Erp</cp:lastModifiedBy>
  <cp:revision>1</cp:revision>
  <dcterms:created xsi:type="dcterms:W3CDTF">2019-01-17T08:25:00Z</dcterms:created>
  <dcterms:modified xsi:type="dcterms:W3CDTF">2019-01-17T08:35:00Z</dcterms:modified>
</cp:coreProperties>
</file>